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39" w:rsidRDefault="00A76E39" w:rsidP="00A76E39">
      <w:pPr>
        <w:wordWrap w:val="0"/>
        <w:ind w:right="848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证券代码：</w:t>
      </w:r>
      <w:r>
        <w:rPr>
          <w:rFonts w:ascii="宋体" w:hAnsi="宋体" w:cs="宋体"/>
          <w:b/>
          <w:bCs/>
          <w:sz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</w:rPr>
        <w:t>证券简称：恒源煤电</w:t>
      </w:r>
      <w:r w:rsidR="00081F4B">
        <w:rPr>
          <w:rFonts w:ascii="宋体" w:hAnsi="宋体" w:cs="宋体" w:hint="eastAsia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公告编号：</w:t>
      </w:r>
      <w:r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20</w:t>
      </w:r>
      <w:r>
        <w:rPr>
          <w:rFonts w:ascii="宋体" w:hAnsi="宋体" w:cs="宋体"/>
          <w:b/>
          <w:bCs/>
          <w:sz w:val="24"/>
        </w:rPr>
        <w:t>-</w:t>
      </w:r>
      <w:r>
        <w:rPr>
          <w:rFonts w:ascii="宋体" w:hAnsi="宋体" w:cs="宋体" w:hint="eastAsia"/>
          <w:b/>
          <w:bCs/>
          <w:sz w:val="24"/>
        </w:rPr>
        <w:t>0</w:t>
      </w:r>
      <w:r w:rsidR="00081F4B">
        <w:rPr>
          <w:rFonts w:ascii="宋体" w:hAnsi="宋体" w:cs="宋体" w:hint="eastAsia"/>
          <w:b/>
          <w:bCs/>
          <w:sz w:val="24"/>
        </w:rPr>
        <w:t>16</w:t>
      </w:r>
    </w:p>
    <w:p w:rsidR="00A76E39" w:rsidRDefault="00A76E39" w:rsidP="00A76E39">
      <w:pPr>
        <w:spacing w:line="360" w:lineRule="auto"/>
        <w:rPr>
          <w:rFonts w:eastAsia="黑体"/>
          <w:b/>
          <w:sz w:val="32"/>
        </w:rPr>
      </w:pPr>
    </w:p>
    <w:p w:rsidR="00A76E39" w:rsidRPr="00C84258" w:rsidRDefault="00A76E39" w:rsidP="00A76E39">
      <w:pPr>
        <w:spacing w:line="360" w:lineRule="auto"/>
        <w:jc w:val="center"/>
        <w:rPr>
          <w:rFonts w:eastAsia="黑体"/>
          <w:b/>
          <w:color w:val="FF0000"/>
          <w:sz w:val="36"/>
          <w:szCs w:val="36"/>
        </w:rPr>
      </w:pPr>
      <w:r w:rsidRPr="00C84258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A76E39" w:rsidRPr="00F74467" w:rsidRDefault="00A76E39" w:rsidP="00A76E39">
      <w:pPr>
        <w:spacing w:line="360" w:lineRule="auto"/>
        <w:jc w:val="center"/>
        <w:rPr>
          <w:rFonts w:eastAsia="黑体"/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36"/>
          <w:szCs w:val="36"/>
        </w:rPr>
        <w:t>关于</w:t>
      </w:r>
      <w:r>
        <w:rPr>
          <w:rFonts w:eastAsia="黑体" w:hint="eastAsia"/>
          <w:b/>
          <w:color w:val="FF0000"/>
          <w:sz w:val="36"/>
          <w:szCs w:val="36"/>
        </w:rPr>
        <w:t>2019</w:t>
      </w:r>
      <w:r>
        <w:rPr>
          <w:rFonts w:eastAsia="黑体" w:hint="eastAsia"/>
          <w:b/>
          <w:color w:val="FF0000"/>
          <w:sz w:val="36"/>
          <w:szCs w:val="36"/>
        </w:rPr>
        <w:t>年度利润分配预案的公告</w:t>
      </w:r>
    </w:p>
    <w:p w:rsidR="00A76E39" w:rsidRDefault="00A76E39" w:rsidP="00A76E39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eastAsia="楷体_GB2312"/>
          <w:sz w:val="28"/>
          <w:szCs w:val="20"/>
        </w:rPr>
      </w:pPr>
    </w:p>
    <w:p w:rsidR="00A76E39" w:rsidRPr="008D708A" w:rsidRDefault="00A76E39" w:rsidP="00A76E39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eastAsia="楷体_GB2312"/>
          <w:sz w:val="28"/>
          <w:szCs w:val="20"/>
        </w:rPr>
      </w:pPr>
      <w:r w:rsidRPr="00462750">
        <w:rPr>
          <w:rFonts w:eastAsia="楷体_GB2312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A76E39" w:rsidRPr="00A76E39" w:rsidRDefault="00A76E39" w:rsidP="00FC38F1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A76E3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●主要内容：公司拟以201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9</w:t>
      </w:r>
      <w:r w:rsidRPr="00A76E3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年末总股本</w:t>
      </w:r>
      <w:r w:rsidRPr="00A76E39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1,200,004,884</w:t>
      </w:r>
      <w:r w:rsidRPr="00A76E3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股为基数，向全体股东每10股派发现金红利人民币</w:t>
      </w:r>
      <w:r w:rsidR="0008453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3.50</w:t>
      </w:r>
      <w:r w:rsidRPr="00A76E3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元（含税），共计派发现金红利人民币</w:t>
      </w:r>
      <w:r w:rsidR="0008453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420,001,709.40</w:t>
      </w:r>
      <w:r w:rsidRPr="00A76E3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元（含税）。</w:t>
      </w:r>
    </w:p>
    <w:p w:rsidR="00A76E39" w:rsidRPr="00A76E39" w:rsidRDefault="00A76E39" w:rsidP="00FC38F1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A76E3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●审议程序：本次利润分配预案已经公司第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七</w:t>
      </w:r>
      <w:r w:rsidRPr="00A76E3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届董事会第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三</w:t>
      </w:r>
      <w:r w:rsidRPr="00A76E3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次会议及第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七</w:t>
      </w:r>
      <w:r w:rsidRPr="00A76E3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届监事会第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三</w:t>
      </w:r>
      <w:r w:rsidRPr="00A76E3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次会议审议通过，尚需提交公司201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9</w:t>
      </w:r>
      <w:r w:rsidRPr="00A76E3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年度股东大会审议。 </w:t>
      </w:r>
    </w:p>
    <w:p w:rsidR="005B69C7" w:rsidRPr="00A76E39" w:rsidRDefault="005B69C7" w:rsidP="00FC38F1">
      <w:pPr>
        <w:pStyle w:val="Default"/>
        <w:spacing w:line="520" w:lineRule="exact"/>
        <w:ind w:firstLineChars="200" w:firstLine="562"/>
        <w:jc w:val="both"/>
        <w:rPr>
          <w:rFonts w:asciiTheme="minorEastAsia" w:eastAsiaTheme="minorEastAsia" w:hAnsiTheme="minorEastAsia" w:cs="宋体"/>
          <w:b/>
          <w:sz w:val="28"/>
          <w:szCs w:val="28"/>
        </w:rPr>
      </w:pPr>
      <w:r w:rsidRPr="00A76E39">
        <w:rPr>
          <w:rFonts w:asciiTheme="minorEastAsia" w:eastAsiaTheme="minorEastAsia" w:hAnsiTheme="minorEastAsia" w:cs="宋体" w:hint="eastAsia"/>
          <w:b/>
          <w:sz w:val="28"/>
          <w:szCs w:val="28"/>
        </w:rPr>
        <w:t xml:space="preserve">一、利润分配方案内容 </w:t>
      </w:r>
    </w:p>
    <w:p w:rsidR="000F6717" w:rsidRDefault="000F6717" w:rsidP="00FC38F1">
      <w:pPr>
        <w:pStyle w:val="Default"/>
        <w:spacing w:line="52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0F6717">
        <w:rPr>
          <w:rFonts w:asciiTheme="minorEastAsia" w:eastAsiaTheme="minorEastAsia" w:hAnsiTheme="minorEastAsia" w:cs="宋体" w:hint="eastAsia"/>
          <w:sz w:val="28"/>
          <w:szCs w:val="28"/>
        </w:rPr>
        <w:t>经立信会计师事务所（特殊普通合伙）审计，公司2019年度实现营业收入6,001,973,173.87元，实现净利润1,126,181,834.88元，其中归属于上市公司股东的净利润1,128,121,725.27元。根据《公司法》、《公司章程》的有关规定，本年提取法定盈余公积90,253,661.57元。加上滚存的未分配利润，截止2019年末，经审计可供股东分配的利润为4,240,509,707.62元。</w:t>
      </w:r>
    </w:p>
    <w:p w:rsidR="005B69C7" w:rsidRPr="005B69C7" w:rsidRDefault="004C467E" w:rsidP="00FC38F1">
      <w:pPr>
        <w:pStyle w:val="Default"/>
        <w:spacing w:line="52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C467E">
        <w:rPr>
          <w:rFonts w:asciiTheme="minorEastAsia" w:eastAsiaTheme="minorEastAsia" w:hAnsiTheme="minorEastAsia" w:cs="宋体" w:hint="eastAsia"/>
          <w:sz w:val="28"/>
          <w:szCs w:val="28"/>
        </w:rPr>
        <w:t>鉴于公司目前经营情况良好，经综合考虑投资者的合理回报和公司的长远发展，在保证公司正常生产经营业务发展的前提下，董事会拟定如下分配预案：公司拟以2019年末总股本1200004884股为基数，向全体股东每10股派发现金红利人民币</w:t>
      </w:r>
      <w:r w:rsidR="00084532">
        <w:rPr>
          <w:rFonts w:asciiTheme="minorEastAsia" w:eastAsiaTheme="minorEastAsia" w:hAnsiTheme="minorEastAsia" w:cs="宋体" w:hint="eastAsia"/>
          <w:sz w:val="28"/>
          <w:szCs w:val="28"/>
        </w:rPr>
        <w:t>3.50</w:t>
      </w:r>
      <w:r w:rsidRPr="004C467E">
        <w:rPr>
          <w:rFonts w:asciiTheme="minorEastAsia" w:eastAsiaTheme="minorEastAsia" w:hAnsiTheme="minorEastAsia" w:cs="宋体" w:hint="eastAsia"/>
          <w:sz w:val="28"/>
          <w:szCs w:val="28"/>
        </w:rPr>
        <w:t>元（含税），共计派发现金红利人</w:t>
      </w:r>
      <w:proofErr w:type="gramStart"/>
      <w:r w:rsidRPr="004C467E">
        <w:rPr>
          <w:rFonts w:asciiTheme="minorEastAsia" w:eastAsiaTheme="minorEastAsia" w:hAnsiTheme="minorEastAsia" w:cs="宋体" w:hint="eastAsia"/>
          <w:sz w:val="28"/>
          <w:szCs w:val="28"/>
        </w:rPr>
        <w:t>民币</w:t>
      </w:r>
      <w:proofErr w:type="gramEnd"/>
      <w:r w:rsidR="00084532" w:rsidRPr="00084532">
        <w:rPr>
          <w:rFonts w:asciiTheme="minorEastAsia" w:eastAsiaTheme="minorEastAsia" w:hAnsiTheme="minorEastAsia" w:cs="宋体"/>
          <w:sz w:val="28"/>
          <w:szCs w:val="28"/>
        </w:rPr>
        <w:t>420,001,709.40</w:t>
      </w:r>
      <w:r w:rsidRPr="004C467E">
        <w:rPr>
          <w:rFonts w:asciiTheme="minorEastAsia" w:eastAsiaTheme="minorEastAsia" w:hAnsiTheme="minorEastAsia" w:cs="宋体" w:hint="eastAsia"/>
          <w:sz w:val="28"/>
          <w:szCs w:val="28"/>
        </w:rPr>
        <w:t>元（含税）。</w:t>
      </w:r>
    </w:p>
    <w:p w:rsidR="005B69C7" w:rsidRPr="00A76E39" w:rsidRDefault="005B69C7" w:rsidP="00FC38F1">
      <w:pPr>
        <w:pStyle w:val="Default"/>
        <w:spacing w:line="520" w:lineRule="exact"/>
        <w:ind w:firstLineChars="200" w:firstLine="562"/>
        <w:jc w:val="both"/>
        <w:rPr>
          <w:rFonts w:asciiTheme="minorEastAsia" w:eastAsiaTheme="minorEastAsia" w:hAnsiTheme="minorEastAsia" w:cs="宋体"/>
          <w:b/>
          <w:sz w:val="28"/>
          <w:szCs w:val="28"/>
        </w:rPr>
      </w:pPr>
      <w:r w:rsidRPr="00A76E39">
        <w:rPr>
          <w:rFonts w:asciiTheme="minorEastAsia" w:eastAsiaTheme="minorEastAsia" w:hAnsiTheme="minorEastAsia" w:cs="宋体" w:hint="eastAsia"/>
          <w:b/>
          <w:sz w:val="28"/>
          <w:szCs w:val="28"/>
        </w:rPr>
        <w:lastRenderedPageBreak/>
        <w:t xml:space="preserve">二、公司履行的决策程序 </w:t>
      </w:r>
    </w:p>
    <w:p w:rsidR="005B69C7" w:rsidRPr="00FE39E0" w:rsidRDefault="005B69C7" w:rsidP="00FC38F1">
      <w:pPr>
        <w:pStyle w:val="Default"/>
        <w:spacing w:line="520" w:lineRule="exact"/>
        <w:ind w:firstLineChars="200" w:firstLine="562"/>
        <w:jc w:val="both"/>
        <w:rPr>
          <w:rFonts w:asciiTheme="minorEastAsia" w:eastAsiaTheme="minorEastAsia" w:hAnsiTheme="minorEastAsia" w:cs="宋体"/>
          <w:b/>
          <w:sz w:val="28"/>
          <w:szCs w:val="28"/>
        </w:rPr>
      </w:pPr>
      <w:r w:rsidRPr="00FE39E0">
        <w:rPr>
          <w:rFonts w:asciiTheme="minorEastAsia" w:eastAsiaTheme="minorEastAsia" w:hAnsiTheme="minorEastAsia" w:cs="宋体" w:hint="eastAsia"/>
          <w:b/>
          <w:sz w:val="28"/>
          <w:szCs w:val="28"/>
        </w:rPr>
        <w:t xml:space="preserve">（一）董事会会议的召开、审议和表决情况 </w:t>
      </w:r>
    </w:p>
    <w:p w:rsidR="005B69C7" w:rsidRPr="005B69C7" w:rsidRDefault="005B69C7" w:rsidP="00FC38F1">
      <w:pPr>
        <w:pStyle w:val="Default"/>
        <w:spacing w:line="520" w:lineRule="exac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>2020年</w:t>
      </w:r>
      <w:r w:rsidR="00A76E39">
        <w:rPr>
          <w:rFonts w:asciiTheme="minorEastAsia" w:eastAsiaTheme="minorEastAsia" w:hAnsiTheme="minorEastAsia" w:cs="宋体" w:hint="eastAsia"/>
          <w:sz w:val="28"/>
          <w:szCs w:val="28"/>
        </w:rPr>
        <w:t>4</w:t>
      </w: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>月2</w:t>
      </w:r>
      <w:r w:rsidR="00A76E39">
        <w:rPr>
          <w:rFonts w:asciiTheme="minorEastAsia" w:eastAsiaTheme="minorEastAsia" w:hAnsiTheme="minorEastAsia" w:cs="宋体" w:hint="eastAsia"/>
          <w:sz w:val="28"/>
          <w:szCs w:val="28"/>
        </w:rPr>
        <w:t>4</w:t>
      </w: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>日，公司召开第</w:t>
      </w:r>
      <w:r w:rsidR="00A76E39">
        <w:rPr>
          <w:rFonts w:asciiTheme="minorEastAsia" w:eastAsiaTheme="minorEastAsia" w:hAnsiTheme="minorEastAsia" w:cs="宋体" w:hint="eastAsia"/>
          <w:sz w:val="28"/>
          <w:szCs w:val="28"/>
        </w:rPr>
        <w:t>七</w:t>
      </w: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>届董事会第</w:t>
      </w:r>
      <w:r w:rsidR="00A76E39">
        <w:rPr>
          <w:rFonts w:asciiTheme="minorEastAsia" w:eastAsiaTheme="minorEastAsia" w:hAnsiTheme="minorEastAsia" w:cs="宋体" w:hint="eastAsia"/>
          <w:sz w:val="28"/>
          <w:szCs w:val="28"/>
        </w:rPr>
        <w:t>三</w:t>
      </w: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>次会议，审议通过《2019年度利润分配</w:t>
      </w:r>
      <w:r w:rsidR="00A76E39">
        <w:rPr>
          <w:rFonts w:asciiTheme="minorEastAsia" w:eastAsiaTheme="minorEastAsia" w:hAnsiTheme="minorEastAsia" w:cs="宋体" w:hint="eastAsia"/>
          <w:sz w:val="28"/>
          <w:szCs w:val="28"/>
        </w:rPr>
        <w:t>预案</w:t>
      </w: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 xml:space="preserve">》。 </w:t>
      </w:r>
    </w:p>
    <w:p w:rsidR="005B69C7" w:rsidRPr="005B69C7" w:rsidRDefault="005B69C7" w:rsidP="00FC38F1">
      <w:pPr>
        <w:pStyle w:val="Default"/>
        <w:spacing w:line="520" w:lineRule="exac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>本次利润分配</w:t>
      </w:r>
      <w:r w:rsidR="00A76E39">
        <w:rPr>
          <w:rFonts w:asciiTheme="minorEastAsia" w:eastAsiaTheme="minorEastAsia" w:hAnsiTheme="minorEastAsia" w:cs="宋体" w:hint="eastAsia"/>
          <w:sz w:val="28"/>
          <w:szCs w:val="28"/>
        </w:rPr>
        <w:t>预案</w:t>
      </w: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 xml:space="preserve">尚需提交公司2019年年度股东大会审议。 </w:t>
      </w:r>
    </w:p>
    <w:p w:rsidR="005B69C7" w:rsidRPr="00A76E39" w:rsidRDefault="005B69C7" w:rsidP="00FC38F1">
      <w:pPr>
        <w:pStyle w:val="Default"/>
        <w:spacing w:line="520" w:lineRule="exact"/>
        <w:ind w:firstLineChars="200" w:firstLine="562"/>
        <w:jc w:val="both"/>
        <w:rPr>
          <w:rFonts w:asciiTheme="minorEastAsia" w:eastAsiaTheme="minorEastAsia" w:hAnsiTheme="minorEastAsia" w:cs="宋体"/>
          <w:b/>
          <w:sz w:val="28"/>
          <w:szCs w:val="28"/>
        </w:rPr>
      </w:pPr>
      <w:r w:rsidRPr="00A76E39">
        <w:rPr>
          <w:rFonts w:asciiTheme="minorEastAsia" w:eastAsiaTheme="minorEastAsia" w:hAnsiTheme="minorEastAsia" w:cs="宋体" w:hint="eastAsia"/>
          <w:b/>
          <w:sz w:val="28"/>
          <w:szCs w:val="28"/>
        </w:rPr>
        <w:t xml:space="preserve">（二）独立董事意见 </w:t>
      </w:r>
    </w:p>
    <w:p w:rsidR="00840A13" w:rsidRPr="00840A13" w:rsidRDefault="00840A13" w:rsidP="00FC38F1">
      <w:pPr>
        <w:pStyle w:val="Default"/>
        <w:spacing w:line="52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公司独立董事认为：公司</w:t>
      </w:r>
      <w:r w:rsidRPr="00840A13">
        <w:rPr>
          <w:rFonts w:asciiTheme="minorEastAsia" w:eastAsiaTheme="minorEastAsia" w:hAnsiTheme="minorEastAsia" w:cs="宋体" w:hint="eastAsia"/>
          <w:sz w:val="28"/>
          <w:szCs w:val="28"/>
        </w:rPr>
        <w:t>201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9</w:t>
      </w:r>
      <w:r w:rsidRPr="00840A13">
        <w:rPr>
          <w:rFonts w:asciiTheme="minorEastAsia" w:eastAsiaTheme="minorEastAsia" w:hAnsiTheme="minorEastAsia" w:cs="宋体" w:hint="eastAsia"/>
          <w:sz w:val="28"/>
          <w:szCs w:val="28"/>
        </w:rPr>
        <w:t>年度利润分配预案充分考虑了公司的经营和发展状况，兼顾对投资者的合理投资回报和公司的可持续发展需求，同意将201</w:t>
      </w:r>
      <w:r w:rsidR="00084532">
        <w:rPr>
          <w:rFonts w:asciiTheme="minorEastAsia" w:eastAsiaTheme="minorEastAsia" w:hAnsiTheme="minorEastAsia" w:cs="宋体" w:hint="eastAsia"/>
          <w:sz w:val="28"/>
          <w:szCs w:val="28"/>
        </w:rPr>
        <w:t>9</w:t>
      </w:r>
      <w:r w:rsidRPr="00840A13">
        <w:rPr>
          <w:rFonts w:asciiTheme="minorEastAsia" w:eastAsiaTheme="minorEastAsia" w:hAnsiTheme="minorEastAsia" w:cs="宋体" w:hint="eastAsia"/>
          <w:sz w:val="28"/>
          <w:szCs w:val="28"/>
        </w:rPr>
        <w:t>年度利润分配预案提交201</w:t>
      </w:r>
      <w:r w:rsidR="00084532">
        <w:rPr>
          <w:rFonts w:asciiTheme="minorEastAsia" w:eastAsiaTheme="minorEastAsia" w:hAnsiTheme="minorEastAsia" w:cs="宋体" w:hint="eastAsia"/>
          <w:sz w:val="28"/>
          <w:szCs w:val="28"/>
        </w:rPr>
        <w:t>9</w:t>
      </w:r>
      <w:r w:rsidRPr="00840A13">
        <w:rPr>
          <w:rFonts w:asciiTheme="minorEastAsia" w:eastAsiaTheme="minorEastAsia" w:hAnsiTheme="minorEastAsia" w:cs="宋体" w:hint="eastAsia"/>
          <w:sz w:val="28"/>
          <w:szCs w:val="28"/>
        </w:rPr>
        <w:t>年度股东大会审议批准。</w:t>
      </w:r>
    </w:p>
    <w:p w:rsidR="005B69C7" w:rsidRPr="00A76E39" w:rsidRDefault="005B69C7" w:rsidP="00FC38F1">
      <w:pPr>
        <w:pStyle w:val="Default"/>
        <w:spacing w:line="520" w:lineRule="exact"/>
        <w:ind w:firstLineChars="200" w:firstLine="562"/>
        <w:jc w:val="both"/>
        <w:rPr>
          <w:rFonts w:asciiTheme="minorEastAsia" w:eastAsiaTheme="minorEastAsia" w:hAnsiTheme="minorEastAsia" w:cs="宋体"/>
          <w:b/>
          <w:sz w:val="28"/>
          <w:szCs w:val="28"/>
        </w:rPr>
      </w:pPr>
      <w:r w:rsidRPr="00A76E39">
        <w:rPr>
          <w:rFonts w:asciiTheme="minorEastAsia" w:eastAsiaTheme="minorEastAsia" w:hAnsiTheme="minorEastAsia" w:cs="宋体" w:hint="eastAsia"/>
          <w:b/>
          <w:sz w:val="28"/>
          <w:szCs w:val="28"/>
        </w:rPr>
        <w:t xml:space="preserve">（三）监事会意见 </w:t>
      </w:r>
    </w:p>
    <w:p w:rsidR="005B69C7" w:rsidRPr="005B69C7" w:rsidRDefault="00840A13" w:rsidP="00FC38F1">
      <w:pPr>
        <w:pStyle w:val="Default"/>
        <w:spacing w:line="520" w:lineRule="exac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>2020年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4</w:t>
      </w: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>月2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4</w:t>
      </w: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>日，公司召开第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七</w:t>
      </w: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>届监事会第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三</w:t>
      </w: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>次会议，审议通过《公司2019年度利润分配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预案</w:t>
      </w: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>》。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公司监事一致认为：</w:t>
      </w:r>
      <w:r w:rsidRPr="00840A13">
        <w:rPr>
          <w:rFonts w:asciiTheme="minorEastAsia" w:eastAsiaTheme="minorEastAsia" w:hAnsiTheme="minorEastAsia" w:cs="宋体" w:hint="eastAsia"/>
          <w:sz w:val="28"/>
          <w:szCs w:val="28"/>
        </w:rPr>
        <w:t>董事会提出的公司201</w:t>
      </w:r>
      <w:r w:rsidR="00084532">
        <w:rPr>
          <w:rFonts w:asciiTheme="minorEastAsia" w:eastAsiaTheme="minorEastAsia" w:hAnsiTheme="minorEastAsia" w:cs="宋体" w:hint="eastAsia"/>
          <w:sz w:val="28"/>
          <w:szCs w:val="28"/>
        </w:rPr>
        <w:t>9</w:t>
      </w:r>
      <w:r w:rsidRPr="00840A13">
        <w:rPr>
          <w:rFonts w:asciiTheme="minorEastAsia" w:eastAsiaTheme="minorEastAsia" w:hAnsiTheme="minorEastAsia" w:cs="宋体" w:hint="eastAsia"/>
          <w:sz w:val="28"/>
          <w:szCs w:val="28"/>
        </w:rPr>
        <w:t>年度利润分配预案符合《公司法》、《证券法》和《公司章程》中对于分红的相关规定，符合公司股利分配政策，体现了公司对投资者的回报，201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9年度利润分配预案具备合法性、合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规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性及合理性</w:t>
      </w:r>
      <w:r w:rsidR="005B69C7" w:rsidRPr="005B69C7">
        <w:rPr>
          <w:rFonts w:asciiTheme="minorEastAsia" w:eastAsiaTheme="minorEastAsia" w:hAnsiTheme="minorEastAsia" w:cs="宋体" w:hint="eastAsia"/>
          <w:sz w:val="28"/>
          <w:szCs w:val="28"/>
        </w:rPr>
        <w:t xml:space="preserve">，符合公司及股东利益。 </w:t>
      </w:r>
    </w:p>
    <w:p w:rsidR="005B69C7" w:rsidRPr="00A76E39" w:rsidRDefault="005B69C7" w:rsidP="00FC38F1">
      <w:pPr>
        <w:pStyle w:val="Default"/>
        <w:spacing w:line="520" w:lineRule="exact"/>
        <w:ind w:firstLineChars="200" w:firstLine="562"/>
        <w:jc w:val="both"/>
        <w:rPr>
          <w:rFonts w:asciiTheme="minorEastAsia" w:eastAsiaTheme="minorEastAsia" w:hAnsiTheme="minorEastAsia" w:cs="宋体"/>
          <w:b/>
          <w:sz w:val="28"/>
          <w:szCs w:val="28"/>
        </w:rPr>
      </w:pPr>
      <w:r w:rsidRPr="00A76E39">
        <w:rPr>
          <w:rFonts w:asciiTheme="minorEastAsia" w:eastAsiaTheme="minorEastAsia" w:hAnsiTheme="minorEastAsia" w:cs="宋体" w:hint="eastAsia"/>
          <w:b/>
          <w:sz w:val="28"/>
          <w:szCs w:val="28"/>
        </w:rPr>
        <w:t>三、</w:t>
      </w:r>
      <w:r w:rsidR="00840A13">
        <w:rPr>
          <w:rFonts w:asciiTheme="minorEastAsia" w:eastAsiaTheme="minorEastAsia" w:hAnsiTheme="minorEastAsia" w:cs="宋体" w:hint="eastAsia"/>
          <w:b/>
          <w:sz w:val="28"/>
          <w:szCs w:val="28"/>
        </w:rPr>
        <w:t>对公司的影响</w:t>
      </w:r>
      <w:r w:rsidRPr="00A76E39">
        <w:rPr>
          <w:rFonts w:asciiTheme="minorEastAsia" w:eastAsiaTheme="minorEastAsia" w:hAnsiTheme="minorEastAsia" w:cs="宋体" w:hint="eastAsia"/>
          <w:b/>
          <w:sz w:val="28"/>
          <w:szCs w:val="28"/>
        </w:rPr>
        <w:t xml:space="preserve"> </w:t>
      </w:r>
    </w:p>
    <w:p w:rsidR="005B69C7" w:rsidRDefault="005B69C7" w:rsidP="00FC38F1">
      <w:pPr>
        <w:pStyle w:val="Default"/>
        <w:spacing w:line="520" w:lineRule="exac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 xml:space="preserve">本次利润分配方案结合了公司发展阶段、未来的资金需求等因素，不会对公司经营现金流产生重大影响，不会影响公司正常经营和长期发展。 </w:t>
      </w:r>
    </w:p>
    <w:p w:rsidR="00840A13" w:rsidRPr="00840A13" w:rsidRDefault="00840A13" w:rsidP="00FC38F1">
      <w:pPr>
        <w:pStyle w:val="Default"/>
        <w:spacing w:line="520" w:lineRule="exact"/>
        <w:ind w:firstLineChars="200" w:firstLine="562"/>
        <w:jc w:val="both"/>
        <w:rPr>
          <w:rFonts w:asciiTheme="minorEastAsia" w:eastAsiaTheme="minorEastAsia" w:hAnsiTheme="minorEastAsia" w:cs="宋体"/>
          <w:b/>
          <w:sz w:val="28"/>
          <w:szCs w:val="28"/>
        </w:rPr>
      </w:pPr>
      <w:r w:rsidRPr="00840A13">
        <w:rPr>
          <w:rFonts w:asciiTheme="minorEastAsia" w:eastAsiaTheme="minorEastAsia" w:hAnsiTheme="minorEastAsia" w:cs="宋体" w:hint="eastAsia"/>
          <w:b/>
          <w:sz w:val="28"/>
          <w:szCs w:val="28"/>
        </w:rPr>
        <w:t>四、风险提示</w:t>
      </w:r>
    </w:p>
    <w:p w:rsidR="00840A13" w:rsidRPr="005B69C7" w:rsidRDefault="00840A13" w:rsidP="00FC38F1">
      <w:pPr>
        <w:pStyle w:val="Default"/>
        <w:spacing w:line="520" w:lineRule="exact"/>
        <w:ind w:firstLineChars="200" w:firstLine="560"/>
        <w:jc w:val="both"/>
        <w:rPr>
          <w:rFonts w:asciiTheme="minorEastAsia" w:eastAsiaTheme="minorEastAsia" w:hAnsiTheme="minorEastAsia" w:cs="宋体"/>
          <w:sz w:val="28"/>
          <w:szCs w:val="28"/>
        </w:rPr>
      </w:pPr>
      <w:r w:rsidRPr="00840A13">
        <w:rPr>
          <w:rFonts w:asciiTheme="minorEastAsia" w:eastAsiaTheme="minorEastAsia" w:hAnsiTheme="minorEastAsia" w:cs="宋体" w:hint="eastAsia"/>
          <w:sz w:val="28"/>
          <w:szCs w:val="28"/>
        </w:rPr>
        <w:t>本次利润分配预案尚需提交公司201</w:t>
      </w:r>
      <w:r w:rsidR="00084532">
        <w:rPr>
          <w:rFonts w:asciiTheme="minorEastAsia" w:eastAsiaTheme="minorEastAsia" w:hAnsiTheme="minorEastAsia" w:cs="宋体" w:hint="eastAsia"/>
          <w:sz w:val="28"/>
          <w:szCs w:val="28"/>
        </w:rPr>
        <w:t>9</w:t>
      </w:r>
      <w:r w:rsidR="00FC38F1"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 w:rsidRPr="00840A13">
        <w:rPr>
          <w:rFonts w:asciiTheme="minorEastAsia" w:eastAsiaTheme="minorEastAsia" w:hAnsiTheme="minorEastAsia" w:cs="宋体" w:hint="eastAsia"/>
          <w:sz w:val="28"/>
          <w:szCs w:val="28"/>
        </w:rPr>
        <w:t>度股东大会审议通过后方可实施，敬请广大投资者注意投资风险。</w:t>
      </w:r>
    </w:p>
    <w:p w:rsidR="00A76E39" w:rsidRPr="005B69C7" w:rsidRDefault="005B69C7" w:rsidP="00081F4B">
      <w:pPr>
        <w:pStyle w:val="Default"/>
        <w:spacing w:line="52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5B69C7">
        <w:rPr>
          <w:rFonts w:asciiTheme="minorEastAsia" w:eastAsiaTheme="minorEastAsia" w:hAnsiTheme="minorEastAsia" w:cs="宋体" w:hint="eastAsia"/>
          <w:sz w:val="28"/>
          <w:szCs w:val="28"/>
        </w:rPr>
        <w:t>特此公告。</w:t>
      </w:r>
      <w:bookmarkStart w:id="0" w:name="_GoBack"/>
      <w:bookmarkEnd w:id="0"/>
    </w:p>
    <w:p w:rsidR="005B69C7" w:rsidRPr="005B69C7" w:rsidRDefault="00A76E39" w:rsidP="00081F4B">
      <w:pPr>
        <w:pStyle w:val="Default"/>
        <w:spacing w:line="520" w:lineRule="exact"/>
        <w:ind w:firstLineChars="200" w:firstLine="560"/>
        <w:jc w:val="righ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安徽恒源煤电</w:t>
      </w:r>
      <w:r w:rsidR="005B69C7" w:rsidRPr="005B69C7">
        <w:rPr>
          <w:rFonts w:asciiTheme="minorEastAsia" w:eastAsiaTheme="minorEastAsia" w:hAnsiTheme="minorEastAsia" w:cs="宋体" w:hint="eastAsia"/>
          <w:sz w:val="28"/>
          <w:szCs w:val="28"/>
        </w:rPr>
        <w:t xml:space="preserve">股份有限公司董事会 </w:t>
      </w:r>
    </w:p>
    <w:p w:rsidR="0001359C" w:rsidRPr="005B69C7" w:rsidRDefault="00FC38F1" w:rsidP="00FC38F1">
      <w:pPr>
        <w:spacing w:line="520" w:lineRule="exact"/>
        <w:ind w:right="560"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                              </w:t>
      </w:r>
      <w:r w:rsidR="005B69C7" w:rsidRPr="005B69C7">
        <w:rPr>
          <w:rFonts w:asciiTheme="minorEastAsia" w:eastAsiaTheme="minorEastAsia" w:hAnsiTheme="minorEastAsia" w:cs="宋体" w:hint="eastAsia"/>
          <w:sz w:val="28"/>
          <w:szCs w:val="28"/>
        </w:rPr>
        <w:t>2020年</w:t>
      </w:r>
      <w:r w:rsidR="00A76E39">
        <w:rPr>
          <w:rFonts w:asciiTheme="minorEastAsia" w:hAnsiTheme="minorEastAsia" w:cs="宋体" w:hint="eastAsia"/>
          <w:sz w:val="28"/>
          <w:szCs w:val="28"/>
        </w:rPr>
        <w:t>4</w:t>
      </w:r>
      <w:r w:rsidR="005B69C7" w:rsidRPr="005B69C7">
        <w:rPr>
          <w:rFonts w:asciiTheme="minorEastAsia" w:eastAsiaTheme="minorEastAsia" w:hAnsiTheme="minorEastAsia" w:cs="宋体" w:hint="eastAsia"/>
          <w:sz w:val="28"/>
          <w:szCs w:val="28"/>
        </w:rPr>
        <w:t>月2</w:t>
      </w:r>
      <w:r w:rsidR="00A76E39">
        <w:rPr>
          <w:rFonts w:asciiTheme="minorEastAsia" w:hAnsiTheme="minorEastAsia" w:cs="宋体" w:hint="eastAsia"/>
          <w:sz w:val="28"/>
          <w:szCs w:val="28"/>
        </w:rPr>
        <w:t>7</w:t>
      </w:r>
      <w:r w:rsidR="005B69C7" w:rsidRPr="005B69C7">
        <w:rPr>
          <w:rFonts w:asciiTheme="minorEastAsia" w:eastAsiaTheme="minorEastAsia" w:hAnsiTheme="minorEastAsia" w:cs="宋体" w:hint="eastAsia"/>
          <w:sz w:val="28"/>
          <w:szCs w:val="28"/>
        </w:rPr>
        <w:t>日</w:t>
      </w:r>
      <w:r w:rsidR="00A76E39">
        <w:rPr>
          <w:rFonts w:asciiTheme="minorEastAsia" w:hAnsiTheme="minorEastAsia" w:cs="宋体" w:hint="eastAsia"/>
          <w:sz w:val="28"/>
          <w:szCs w:val="28"/>
        </w:rPr>
        <w:t xml:space="preserve">      </w:t>
      </w:r>
    </w:p>
    <w:sectPr w:rsidR="0001359C" w:rsidRPr="005B69C7" w:rsidSect="00081F4B"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CE" w:rsidRDefault="007668CE" w:rsidP="005B69C7">
      <w:r>
        <w:separator/>
      </w:r>
    </w:p>
  </w:endnote>
  <w:endnote w:type="continuationSeparator" w:id="0">
    <w:p w:rsidR="007668CE" w:rsidRDefault="007668CE" w:rsidP="005B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CE" w:rsidRDefault="007668CE" w:rsidP="005B69C7">
      <w:r>
        <w:separator/>
      </w:r>
    </w:p>
  </w:footnote>
  <w:footnote w:type="continuationSeparator" w:id="0">
    <w:p w:rsidR="007668CE" w:rsidRDefault="007668CE" w:rsidP="005B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8B"/>
    <w:rsid w:val="000050F4"/>
    <w:rsid w:val="0001014A"/>
    <w:rsid w:val="0001359C"/>
    <w:rsid w:val="00035FAE"/>
    <w:rsid w:val="000371D4"/>
    <w:rsid w:val="00060F7A"/>
    <w:rsid w:val="00081F4B"/>
    <w:rsid w:val="000829DD"/>
    <w:rsid w:val="00084532"/>
    <w:rsid w:val="0009046A"/>
    <w:rsid w:val="000B3791"/>
    <w:rsid w:val="000C7702"/>
    <w:rsid w:val="000F6717"/>
    <w:rsid w:val="00101C90"/>
    <w:rsid w:val="0011776C"/>
    <w:rsid w:val="001476CC"/>
    <w:rsid w:val="001722C3"/>
    <w:rsid w:val="00190BB9"/>
    <w:rsid w:val="001D5850"/>
    <w:rsid w:val="00214084"/>
    <w:rsid w:val="00232D62"/>
    <w:rsid w:val="00266F69"/>
    <w:rsid w:val="002B0150"/>
    <w:rsid w:val="002B73D8"/>
    <w:rsid w:val="002E55EE"/>
    <w:rsid w:val="002F4D60"/>
    <w:rsid w:val="002F5F46"/>
    <w:rsid w:val="00321927"/>
    <w:rsid w:val="00330AC1"/>
    <w:rsid w:val="0033448C"/>
    <w:rsid w:val="00363787"/>
    <w:rsid w:val="00374FF5"/>
    <w:rsid w:val="00385904"/>
    <w:rsid w:val="00391B46"/>
    <w:rsid w:val="003B29C0"/>
    <w:rsid w:val="003C79D5"/>
    <w:rsid w:val="004173CB"/>
    <w:rsid w:val="00425DD3"/>
    <w:rsid w:val="0043161C"/>
    <w:rsid w:val="0044752F"/>
    <w:rsid w:val="004526DD"/>
    <w:rsid w:val="004A23E7"/>
    <w:rsid w:val="004B6E49"/>
    <w:rsid w:val="004C10B8"/>
    <w:rsid w:val="004C467E"/>
    <w:rsid w:val="00507C7B"/>
    <w:rsid w:val="00515640"/>
    <w:rsid w:val="00566B69"/>
    <w:rsid w:val="005A0065"/>
    <w:rsid w:val="005A70B6"/>
    <w:rsid w:val="005B1998"/>
    <w:rsid w:val="005B69C7"/>
    <w:rsid w:val="005E3037"/>
    <w:rsid w:val="005E481F"/>
    <w:rsid w:val="005F608B"/>
    <w:rsid w:val="00602E70"/>
    <w:rsid w:val="00636111"/>
    <w:rsid w:val="0066368B"/>
    <w:rsid w:val="00676448"/>
    <w:rsid w:val="006F5C2E"/>
    <w:rsid w:val="0075794E"/>
    <w:rsid w:val="007668CE"/>
    <w:rsid w:val="007B2EB2"/>
    <w:rsid w:val="007B60E2"/>
    <w:rsid w:val="007D586E"/>
    <w:rsid w:val="00803AF6"/>
    <w:rsid w:val="0082592D"/>
    <w:rsid w:val="00840A13"/>
    <w:rsid w:val="00844324"/>
    <w:rsid w:val="00891A55"/>
    <w:rsid w:val="008F661E"/>
    <w:rsid w:val="00902DD5"/>
    <w:rsid w:val="00942713"/>
    <w:rsid w:val="009B75D1"/>
    <w:rsid w:val="00A0112F"/>
    <w:rsid w:val="00A33467"/>
    <w:rsid w:val="00A70987"/>
    <w:rsid w:val="00A76E39"/>
    <w:rsid w:val="00AD448F"/>
    <w:rsid w:val="00AD4773"/>
    <w:rsid w:val="00AE06BB"/>
    <w:rsid w:val="00AF1A3B"/>
    <w:rsid w:val="00B136EE"/>
    <w:rsid w:val="00B30E8E"/>
    <w:rsid w:val="00B574B7"/>
    <w:rsid w:val="00B61495"/>
    <w:rsid w:val="00B90541"/>
    <w:rsid w:val="00BA3F97"/>
    <w:rsid w:val="00BA67BC"/>
    <w:rsid w:val="00BC0186"/>
    <w:rsid w:val="00BF0CC6"/>
    <w:rsid w:val="00BF6E6B"/>
    <w:rsid w:val="00C560AA"/>
    <w:rsid w:val="00C60603"/>
    <w:rsid w:val="00C622AE"/>
    <w:rsid w:val="00CA0AFC"/>
    <w:rsid w:val="00CC15E4"/>
    <w:rsid w:val="00D02989"/>
    <w:rsid w:val="00D156D6"/>
    <w:rsid w:val="00D2709C"/>
    <w:rsid w:val="00D345F6"/>
    <w:rsid w:val="00D65A1A"/>
    <w:rsid w:val="00DA212B"/>
    <w:rsid w:val="00DB4913"/>
    <w:rsid w:val="00E61563"/>
    <w:rsid w:val="00E62B02"/>
    <w:rsid w:val="00E64407"/>
    <w:rsid w:val="00E82DB5"/>
    <w:rsid w:val="00EE58CC"/>
    <w:rsid w:val="00F022B1"/>
    <w:rsid w:val="00F34845"/>
    <w:rsid w:val="00F6142C"/>
    <w:rsid w:val="00F6186A"/>
    <w:rsid w:val="00F77317"/>
    <w:rsid w:val="00F97C0D"/>
    <w:rsid w:val="00FB25D1"/>
    <w:rsid w:val="00FB58EE"/>
    <w:rsid w:val="00FC38F1"/>
    <w:rsid w:val="00FE39E0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9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9C7"/>
    <w:rPr>
      <w:sz w:val="18"/>
      <w:szCs w:val="18"/>
    </w:rPr>
  </w:style>
  <w:style w:type="paragraph" w:customStyle="1" w:styleId="Default">
    <w:name w:val="Default"/>
    <w:rsid w:val="005B69C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81F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1F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9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9C7"/>
    <w:rPr>
      <w:sz w:val="18"/>
      <w:szCs w:val="18"/>
    </w:rPr>
  </w:style>
  <w:style w:type="paragraph" w:customStyle="1" w:styleId="Default">
    <w:name w:val="Default"/>
    <w:rsid w:val="005B69C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81F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1F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1090</Characters>
  <Application>Microsoft Office Word</Application>
  <DocSecurity>0</DocSecurity>
  <Lines>9</Lines>
  <Paragraphs>2</Paragraphs>
  <ScaleCrop>false</ScaleCrop>
  <Company>Sky123.Org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马开峰</dc:creator>
  <cp:lastModifiedBy>马开峰</cp:lastModifiedBy>
  <cp:revision>10</cp:revision>
  <cp:lastPrinted>2020-04-24T03:30:00Z</cp:lastPrinted>
  <dcterms:created xsi:type="dcterms:W3CDTF">2020-04-10T00:24:00Z</dcterms:created>
  <dcterms:modified xsi:type="dcterms:W3CDTF">2020-04-24T03:36:00Z</dcterms:modified>
</cp:coreProperties>
</file>